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2C" w:rsidRDefault="0052792C" w:rsidP="0052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52792C" w:rsidRPr="004E52F9" w:rsidRDefault="0052792C" w:rsidP="0052792C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C48" w:rsidRDefault="0052792C" w:rsidP="00580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580C48">
        <w:rPr>
          <w:rFonts w:ascii="Times New Roman" w:hAnsi="Times New Roman" w:cs="Times New Roman"/>
          <w:b/>
          <w:sz w:val="24"/>
          <w:szCs w:val="24"/>
        </w:rPr>
        <w:t xml:space="preserve">  „Makbet” Szekspira.  Dramat szekspirowski a dramat klasyczny (porównanie)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580C48" w:rsidRPr="00A416C6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  <w:r w:rsidRPr="00A416C6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Charakterystyka Makbeta.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  <w:bookmarkStart w:id="0" w:name="_GoBack"/>
      <w:bookmarkEnd w:id="0"/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</w:p>
    <w:p w:rsidR="0052792C" w:rsidRDefault="0052792C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3218C8" w:rsidRDefault="003218C8" w:rsidP="00321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3218C8" w:rsidRPr="004E52F9" w:rsidRDefault="003218C8" w:rsidP="003218C8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C3D" w:rsidRDefault="00382C3D" w:rsidP="00382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„Pamiętniki” J. Ch. Paska. Sarmatyzm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Ch. Paska.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Sarmatyzm (zalety i wady szlachty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polsiej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18C8" w:rsidRDefault="003218C8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137099" w:rsidRPr="004E52F9" w:rsidRDefault="00137099" w:rsidP="00137099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2F9" w:rsidRPr="0088695C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 w:rsidRPr="004E52F9">
        <w:rPr>
          <w:rFonts w:ascii="Times New Roman" w:hAnsi="Times New Roman" w:cs="Times New Roman"/>
          <w:sz w:val="24"/>
          <w:szCs w:val="24"/>
        </w:rPr>
        <w:t xml:space="preserve">XV 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Poezja D. Naborowskiego. Analiza i interpretacja wierszy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„Marność”</w:t>
      </w:r>
    </w:p>
    <w:p w:rsidR="00E7232C" w:rsidRDefault="00E7232C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„Krótkość żywota”.</w:t>
      </w:r>
    </w:p>
    <w:p w:rsidR="004E52F9" w:rsidRPr="001A204F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1A204F">
        <w:rPr>
          <w:rFonts w:ascii="Times New Roman" w:hAnsi="Times New Roman" w:cs="Times New Roman"/>
          <w:b/>
          <w:sz w:val="24"/>
          <w:szCs w:val="24"/>
        </w:rPr>
        <w:t>Poezja „światowych rozkoszy” baroku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lastRenderedPageBreak/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096CB8"/>
    <w:rsid w:val="00137099"/>
    <w:rsid w:val="001D02FD"/>
    <w:rsid w:val="001E1992"/>
    <w:rsid w:val="002E3F66"/>
    <w:rsid w:val="00310441"/>
    <w:rsid w:val="003218C8"/>
    <w:rsid w:val="00361C30"/>
    <w:rsid w:val="00382C3D"/>
    <w:rsid w:val="003C46EF"/>
    <w:rsid w:val="003D0C1F"/>
    <w:rsid w:val="004E1880"/>
    <w:rsid w:val="004E52F9"/>
    <w:rsid w:val="0052792C"/>
    <w:rsid w:val="00580C48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416C6"/>
    <w:rsid w:val="00AE447A"/>
    <w:rsid w:val="00C92811"/>
    <w:rsid w:val="00D54565"/>
    <w:rsid w:val="00D5658D"/>
    <w:rsid w:val="00E7232C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E3B4-2A59-47E9-9C8F-27BE4507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31</cp:revision>
  <dcterms:created xsi:type="dcterms:W3CDTF">2020-03-17T09:32:00Z</dcterms:created>
  <dcterms:modified xsi:type="dcterms:W3CDTF">2020-05-26T15:15:00Z</dcterms:modified>
</cp:coreProperties>
</file>