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A13B16"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  <w:t>Kąty w okręgu</w:t>
      </w:r>
    </w:p>
    <w:p w:rsid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</w:p>
    <w:p w:rsidR="00A13B16" w:rsidRDefault="00A13B16" w:rsidP="00A13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A13B16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t>Definicja:  Kąt wpisany w okrąg</w:t>
      </w:r>
    </w:p>
    <w:p w:rsidR="00A13B16" w:rsidRPr="00A13B16" w:rsidRDefault="00A13B16" w:rsidP="00A13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</w:p>
    <w:p w:rsidR="00A13B16" w:rsidRDefault="00A13B16" w:rsidP="00A1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A13B16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Kątem wpisanym w okrąg nazywamy kąt, którego wierzchołek leży na okręgu, a jego ramionami są półproste zawierające dwie cięciwy tego okręgu.</w:t>
      </w:r>
    </w:p>
    <w:p w:rsidR="00A13B16" w:rsidRDefault="00A13B16" w:rsidP="00A1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13B16" w:rsidRPr="00A13B16" w:rsidRDefault="00A13B16" w:rsidP="00A13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A13B16">
        <w:rPr>
          <w:rFonts w:ascii="Helvetica" w:eastAsia="Times New Roman" w:hAnsi="Helvetica" w:cs="Helvetica"/>
          <w:b/>
          <w:bCs/>
          <w:noProof/>
          <w:color w:val="1B1B1B"/>
          <w:kern w:val="36"/>
          <w:sz w:val="48"/>
          <w:szCs w:val="48"/>
          <w:lang w:eastAsia="pl-PL"/>
        </w:rPr>
        <w:drawing>
          <wp:inline distT="0" distB="0" distL="0" distR="0">
            <wp:extent cx="2369820" cy="2570086"/>
            <wp:effectExtent l="0" t="0" r="0" b="1905"/>
            <wp:docPr id="1" name="Obraz 1" descr="C:\Users\uczen\Desktop\zsg\170px-Angle0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170px-Angle01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59" cy="257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A13B16">
        <w:rPr>
          <w:rFonts w:ascii="Helvetica" w:eastAsia="Times New Roman" w:hAnsi="Helvetica" w:cs="Helvetica"/>
          <w:b/>
          <w:bCs/>
          <w:noProof/>
          <w:color w:val="1B1B1B"/>
          <w:kern w:val="36"/>
          <w:sz w:val="48"/>
          <w:szCs w:val="48"/>
          <w:lang w:eastAsia="pl-PL"/>
        </w:rPr>
        <w:drawing>
          <wp:inline distT="0" distB="0" distL="0" distR="0">
            <wp:extent cx="5406838" cy="2857500"/>
            <wp:effectExtent l="0" t="0" r="3810" b="0"/>
            <wp:docPr id="2" name="Obraz 2" descr="C:\Users\uczen\Desktop\zsg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48" cy="28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</w:p>
    <w:p w:rsid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Garamond" w:hAnsi="Garamond"/>
          <w:color w:val="1B1B1B"/>
          <w:shd w:val="clear" w:color="auto" w:fill="FFFFFF"/>
        </w:rPr>
      </w:pPr>
    </w:p>
    <w:p w:rsid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Garamond" w:hAnsi="Garamond"/>
          <w:color w:val="1B1B1B"/>
          <w:shd w:val="clear" w:color="auto" w:fill="FFFFFF"/>
        </w:rPr>
      </w:pPr>
    </w:p>
    <w:p w:rsidR="00A13B16" w:rsidRP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  <w:lang w:eastAsia="pl-PL"/>
        </w:rPr>
      </w:pP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Punkty </w:t>
      </w:r>
      <w:r w:rsidRPr="00A13B16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i </w:t>
      </w:r>
      <w:r w:rsidRPr="00A13B16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wyznaczają dwa łuki na okręgu. Mówimy, że kąt wpisany </w:t>
      </w:r>
      <w:r w:rsidRPr="00A13B16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α</w:t>
      </w: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jest oparty na łuku </w:t>
      </w:r>
      <w:r w:rsidRPr="00A13B16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AC</w:t>
      </w: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mając na myśli łuk zaznaczony na rysunku, na którym nie leży wierzchołek </w:t>
      </w:r>
      <w:r w:rsidRPr="00A13B16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(łuk zawarty w kącie </w:t>
      </w:r>
      <w:r w:rsidRPr="00A13B16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). Czasem mówimy też, że kąt </w:t>
      </w:r>
      <w:r w:rsidRPr="00A13B16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α</w:t>
      </w: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jest oparty na cięciwie </w:t>
      </w:r>
      <w:r w:rsidRPr="00A13B16">
        <w:rPr>
          <w:rStyle w:val="mjxassistivemathml"/>
          <w:rFonts w:ascii="Times New Roman" w:hAnsi="Times New Roman" w:cs="Times New Roman"/>
          <w:color w:val="1B1B1B"/>
          <w:sz w:val="24"/>
          <w:szCs w:val="24"/>
          <w:bdr w:val="none" w:sz="0" w:space="0" w:color="auto" w:frame="1"/>
          <w:shd w:val="clear" w:color="auto" w:fill="FFFFFF"/>
        </w:rPr>
        <w:t>AC</w:t>
      </w:r>
      <w:r w:rsidRPr="00A13B1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A13B16" w:rsidRDefault="00A13B16" w:rsidP="00A13B1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</w:p>
    <w:p w:rsidR="00A13B16" w:rsidRPr="00A13B16" w:rsidRDefault="00A13B16" w:rsidP="00A13B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</w:pPr>
      <w:r w:rsidRPr="00A13B16">
        <w:rPr>
          <w:rFonts w:ascii="Helvetica" w:eastAsia="Times New Roman" w:hAnsi="Helvetica" w:cs="Helvetica"/>
          <w:b/>
          <w:bCs/>
          <w:color w:val="1B1B1B"/>
          <w:sz w:val="24"/>
          <w:szCs w:val="24"/>
          <w:lang w:eastAsia="pl-PL"/>
        </w:rPr>
        <w:lastRenderedPageBreak/>
        <w:t>Definicja:  Kąt środkowy okręgu</w:t>
      </w:r>
    </w:p>
    <w:p w:rsidR="00A13B16" w:rsidRPr="00A13B16" w:rsidRDefault="00A13B16" w:rsidP="00A13B16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  <w:r w:rsidRPr="00A13B16"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  <w:t>Kątem środkowym okręgu nazywamy kąt, którego wierzchołek jest środkiem okręgu.</w:t>
      </w:r>
    </w:p>
    <w:p w:rsidR="00A13B16" w:rsidRPr="00A13B16" w:rsidRDefault="00A13B16" w:rsidP="00A13B1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1B1B1B"/>
          <w:kern w:val="36"/>
          <w:sz w:val="48"/>
          <w:szCs w:val="48"/>
          <w:lang w:eastAsia="pl-PL"/>
        </w:rPr>
      </w:pPr>
      <w:r w:rsidRPr="00A13B16">
        <w:rPr>
          <w:rFonts w:ascii="Helvetica" w:eastAsia="Times New Roman" w:hAnsi="Helvetica" w:cs="Helvetica"/>
          <w:b/>
          <w:bCs/>
          <w:noProof/>
          <w:color w:val="1B1B1B"/>
          <w:kern w:val="36"/>
          <w:sz w:val="48"/>
          <w:szCs w:val="48"/>
          <w:lang w:eastAsia="pl-PL"/>
        </w:rPr>
        <w:drawing>
          <wp:inline distT="0" distB="0" distL="0" distR="0">
            <wp:extent cx="2941320" cy="1554480"/>
            <wp:effectExtent l="0" t="0" r="0" b="7620"/>
            <wp:docPr id="3" name="Obraz 3" descr="C:\Users\uczen\Desktop\zsg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pobra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DC" w:rsidRDefault="003D6DDC" w:rsidP="003D6DDC">
      <w:pPr>
        <w:pStyle w:val="NormalnyWeb"/>
        <w:shd w:val="clear" w:color="auto" w:fill="FFFFFF"/>
        <w:spacing w:before="0" w:after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Mówimy, że kąt środkowy </w:t>
      </w:r>
      <w:r>
        <w:rPr>
          <w:rStyle w:val="mi"/>
          <w:rFonts w:ascii="MathJax_Math-italic" w:hAnsi="MathJax_Math-italic"/>
          <w:color w:val="1B1B1B"/>
          <w:sz w:val="28"/>
          <w:szCs w:val="28"/>
          <w:bdr w:val="none" w:sz="0" w:space="0" w:color="auto" w:frame="1"/>
        </w:rPr>
        <w:t>α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α</w:t>
      </w:r>
      <w:r>
        <w:rPr>
          <w:rFonts w:ascii="Garamond" w:hAnsi="Garamond"/>
          <w:color w:val="1B1B1B"/>
        </w:rPr>
        <w:t> jest oparty na łuku </w:t>
      </w:r>
      <w:r>
        <w:rPr>
          <w:rStyle w:val="mi"/>
          <w:rFonts w:ascii="MathJax_Main" w:hAnsi="MathJax_Main"/>
          <w:color w:val="1B1B1B"/>
          <w:sz w:val="28"/>
          <w:szCs w:val="28"/>
          <w:bdr w:val="none" w:sz="0" w:space="0" w:color="auto" w:frame="1"/>
        </w:rPr>
        <w:t>AC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AC</w:t>
      </w:r>
      <w:r>
        <w:rPr>
          <w:rFonts w:ascii="Garamond" w:hAnsi="Garamond"/>
          <w:color w:val="1B1B1B"/>
        </w:rPr>
        <w:t>, mając na myśli łuk zaznaczony na rysunku.</w:t>
      </w:r>
    </w:p>
    <w:p w:rsidR="003D6DDC" w:rsidRDefault="003D6DDC" w:rsidP="003D6DD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przypadku kątów mniejszych niż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180°</w:t>
      </w:r>
      <w:r>
        <w:rPr>
          <w:rFonts w:ascii="Garamond" w:hAnsi="Garamond"/>
          <w:color w:val="1B1B1B"/>
        </w:rPr>
        <w:t>, kąt środkowy jest oparty na krótszym z łuków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AC</w:t>
      </w:r>
      <w:r>
        <w:rPr>
          <w:rFonts w:ascii="Garamond" w:hAnsi="Garamond"/>
          <w:color w:val="1B1B1B"/>
        </w:rPr>
        <w:t>,</w:t>
      </w:r>
    </w:p>
    <w:p w:rsidR="003D6DDC" w:rsidRDefault="003D6DDC" w:rsidP="003D6DD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przypadku kątów większych niż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180°</w:t>
      </w:r>
      <w:r>
        <w:rPr>
          <w:rFonts w:ascii="Garamond" w:hAnsi="Garamond"/>
          <w:color w:val="1B1B1B"/>
        </w:rPr>
        <w:t>, kąt środkowy oparty jest na dłuższym z łuków</w:t>
      </w:r>
      <w:r>
        <w:rPr>
          <w:rFonts w:ascii="Garamond" w:hAnsi="Garamond"/>
          <w:color w:val="1B1B1B"/>
        </w:rPr>
        <w:t xml:space="preserve"> 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AC</w:t>
      </w:r>
      <w:r>
        <w:rPr>
          <w:rFonts w:ascii="Garamond" w:hAnsi="Garamond"/>
          <w:color w:val="1B1B1B"/>
        </w:rPr>
        <w:t>.</w:t>
      </w:r>
    </w:p>
    <w:p w:rsidR="003D6DDC" w:rsidRDefault="003D6DDC" w:rsidP="003D6DD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W przypadku kata równego </w:t>
      </w:r>
      <w:r>
        <w:rPr>
          <w:rStyle w:val="mjxassistivemathml"/>
          <w:rFonts w:ascii="Garamond" w:hAnsi="Garamond"/>
          <w:color w:val="1B1B1B"/>
          <w:bdr w:val="none" w:sz="0" w:space="0" w:color="auto" w:frame="1"/>
        </w:rPr>
        <w:t>180°</w:t>
      </w:r>
      <w:r>
        <w:rPr>
          <w:rFonts w:ascii="Garamond" w:hAnsi="Garamond"/>
          <w:color w:val="1B1B1B"/>
        </w:rPr>
        <w:t>, kąt środkowy oparty jest na półokręgu.</w:t>
      </w:r>
    </w:p>
    <w:p w:rsidR="003D6DDC" w:rsidRDefault="003D6DDC" w:rsidP="003D6DD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3D6DDC" w:rsidRDefault="003D6DDC" w:rsidP="003D6DD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3D6DDC" w:rsidRDefault="003D6DDC" w:rsidP="003D6DD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3D6DDC" w:rsidRPr="003D6DDC" w:rsidRDefault="003D6DDC" w:rsidP="003D6DDC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3D6DDC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I przypadek</w:t>
      </w:r>
    </w:p>
    <w:p w:rsidR="003D6DDC" w:rsidRPr="003D6DDC" w:rsidRDefault="003D6DDC" w:rsidP="003D6DD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3D6DDC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Środek okręgu leży wewnątrz kąta wpisanego.</w:t>
      </w:r>
    </w:p>
    <w:p w:rsidR="00AC2CFF" w:rsidRDefault="003D6DDC" w:rsidP="003D6DDC">
      <w:r w:rsidRPr="003D6DDC">
        <w:rPr>
          <w:noProof/>
          <w:lang w:eastAsia="pl-PL"/>
        </w:rPr>
        <w:drawing>
          <wp:inline distT="0" distB="0" distL="0" distR="0">
            <wp:extent cx="2964180" cy="3113266"/>
            <wp:effectExtent l="0" t="0" r="7620" b="0"/>
            <wp:docPr id="4" name="Obraz 4" descr="C:\Users\uczen\Desktop\zsg\2LD\katy_w_okregu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2LD\katy_w_okregu_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42" cy="312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3D6DDC" w:rsidRDefault="003D6DDC" w:rsidP="003D6DD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II przypadek</w:t>
      </w:r>
    </w:p>
    <w:p w:rsidR="003D6DDC" w:rsidRDefault="003D6DDC" w:rsidP="003D6DDC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Środek okręgu leży na ramieniu kąta wpisanego.</w:t>
      </w:r>
    </w:p>
    <w:p w:rsidR="003D6DDC" w:rsidRDefault="003D6DDC" w:rsidP="003D6DDC">
      <w:r w:rsidRPr="003D6DDC">
        <w:rPr>
          <w:noProof/>
          <w:lang w:eastAsia="pl-PL"/>
        </w:rPr>
        <w:drawing>
          <wp:inline distT="0" distB="0" distL="0" distR="0">
            <wp:extent cx="5925204" cy="2148840"/>
            <wp:effectExtent l="0" t="0" r="0" b="3810"/>
            <wp:docPr id="5" name="Obraz 5" descr="C:\Users\uczen\Desktop\zsg\2L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2LD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33" cy="21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DC" w:rsidRPr="003D6DDC" w:rsidRDefault="005C66CE" w:rsidP="003D6DDC">
      <m:oMathPara>
        <m:oMath>
          <m:r>
            <w:rPr>
              <w:rFonts w:ascii="Cambria Math" w:hAnsi="Cambria Math"/>
            </w:rPr>
            <m:t>α=2β</m:t>
          </m:r>
        </m:oMath>
      </m:oMathPara>
    </w:p>
    <w:p w:rsidR="003D6DDC" w:rsidRDefault="003D6DDC" w:rsidP="003D6DDC"/>
    <w:p w:rsidR="003D6DDC" w:rsidRPr="003D6DDC" w:rsidRDefault="003D6DDC" w:rsidP="003D6DD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3D6DDC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III przypadek</w:t>
      </w:r>
    </w:p>
    <w:p w:rsidR="003D6DDC" w:rsidRPr="003D6DDC" w:rsidRDefault="003D6DDC" w:rsidP="003D6DDC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3D6DDC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Środek okręgu leży na zewnątrz kąta wpisanego.</w:t>
      </w:r>
    </w:p>
    <w:p w:rsidR="003D6DDC" w:rsidRPr="003D6DDC" w:rsidRDefault="005C66CE" w:rsidP="003D6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6C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7113" cy="2087880"/>
            <wp:effectExtent l="0" t="0" r="0" b="7620"/>
            <wp:docPr id="6" name="Obraz 6" descr="C:\Users\uczen\Desktop\zsg\2LD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2LD\pobra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85" cy="209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CE" w:rsidRPr="003D6DDC" w:rsidRDefault="005C66CE" w:rsidP="005C66CE">
      <m:oMathPara>
        <m:oMath>
          <m:r>
            <w:rPr>
              <w:rFonts w:ascii="Cambria Math" w:hAnsi="Cambria Math"/>
            </w:rPr>
            <m:t>α=2β</m:t>
          </m:r>
        </m:oMath>
      </m:oMathPara>
    </w:p>
    <w:p w:rsidR="005C66CE" w:rsidRDefault="005C66CE" w:rsidP="005C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6CE" w:rsidRDefault="005C66CE" w:rsidP="005C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6CE" w:rsidRDefault="005C66CE" w:rsidP="005C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6CE" w:rsidRDefault="005C66CE" w:rsidP="005C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6CE" w:rsidRDefault="005C66CE" w:rsidP="005C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66CE" w:rsidRPr="005C66CE" w:rsidRDefault="005C66CE" w:rsidP="005C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Pr="005C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wierdzenie: o kącie środkowym i wpisanym</w:t>
      </w:r>
    </w:p>
    <w:p w:rsidR="005C66CE" w:rsidRPr="005C66CE" w:rsidRDefault="005C66CE" w:rsidP="005C66C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C66CE">
        <w:rPr>
          <w:rFonts w:ascii="Garamond" w:eastAsia="Times New Roman" w:hAnsi="Garamond" w:cs="Times New Roman"/>
          <w:sz w:val="24"/>
          <w:szCs w:val="24"/>
          <w:lang w:eastAsia="pl-PL"/>
        </w:rPr>
        <w:t>Kąt środkowy ma miarę dwa razy większą niż kąt wpisany oparty na tym samym łuku.</w:t>
      </w:r>
    </w:p>
    <w:p w:rsidR="005C66CE" w:rsidRPr="005C66CE" w:rsidRDefault="005C66CE" w:rsidP="005C66CE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 w:rsidRPr="005C66CE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 tego twierdzenia wynikają wprost twierdzenia zapisane poniżej.</w:t>
      </w:r>
    </w:p>
    <w:p w:rsidR="005C66CE" w:rsidRPr="005C66CE" w:rsidRDefault="005C66CE" w:rsidP="005C66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6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Twierdzenie: o kątach wpisanych opartych na tym samym łuku okręgu</w:t>
      </w:r>
    </w:p>
    <w:p w:rsidR="005C66CE" w:rsidRPr="005C66CE" w:rsidRDefault="005C66CE" w:rsidP="005C66C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C66CE">
        <w:rPr>
          <w:rFonts w:ascii="Garamond" w:eastAsia="Times New Roman" w:hAnsi="Garamond" w:cs="Times New Roman"/>
          <w:sz w:val="24"/>
          <w:szCs w:val="24"/>
          <w:lang w:eastAsia="pl-PL"/>
        </w:rPr>
        <w:t>Kąty wpisane oparte na tym samym łuku okręgu mają równe miary.</w:t>
      </w:r>
    </w:p>
    <w:p w:rsidR="003D6DDC" w:rsidRPr="003D6DDC" w:rsidRDefault="005C66CE" w:rsidP="003D6DDC">
      <w:pPr>
        <w:jc w:val="center"/>
      </w:pPr>
      <w:r w:rsidRPr="005C66CE">
        <w:rPr>
          <w:noProof/>
          <w:lang w:eastAsia="pl-PL"/>
        </w:rPr>
        <w:drawing>
          <wp:inline distT="0" distB="0" distL="0" distR="0">
            <wp:extent cx="3608421" cy="3360420"/>
            <wp:effectExtent l="0" t="0" r="0" b="0"/>
            <wp:docPr id="7" name="Obraz 7" descr="C:\Users\uczen\Desktop\zsg\2LD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n\Desktop\zsg\2LD\pobra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11" cy="337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DDC" w:rsidRPr="003D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2099"/>
    <w:multiLevelType w:val="multilevel"/>
    <w:tmpl w:val="77EC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70910"/>
    <w:multiLevelType w:val="multilevel"/>
    <w:tmpl w:val="C59C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907C9"/>
    <w:multiLevelType w:val="multilevel"/>
    <w:tmpl w:val="CA6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D3FF1"/>
    <w:multiLevelType w:val="multilevel"/>
    <w:tmpl w:val="A956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D"/>
    <w:rsid w:val="0029405A"/>
    <w:rsid w:val="003D6DDC"/>
    <w:rsid w:val="005C66CE"/>
    <w:rsid w:val="00A13B16"/>
    <w:rsid w:val="00A62A6A"/>
    <w:rsid w:val="00C23159"/>
    <w:rsid w:val="00E4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C836-2394-438F-A71A-0053012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i">
    <w:name w:val="mi"/>
    <w:basedOn w:val="Domylnaczcionkaakapitu"/>
    <w:rsid w:val="00A13B16"/>
  </w:style>
  <w:style w:type="character" w:customStyle="1" w:styleId="mjxassistivemathml">
    <w:name w:val="mjx_assistive_mathml"/>
    <w:basedOn w:val="Domylnaczcionkaakapitu"/>
    <w:rsid w:val="00A13B16"/>
  </w:style>
  <w:style w:type="paragraph" w:styleId="NormalnyWeb">
    <w:name w:val="Normal (Web)"/>
    <w:basedOn w:val="Normalny"/>
    <w:uiPriority w:val="99"/>
    <w:semiHidden/>
    <w:unhideWhenUsed/>
    <w:rsid w:val="003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3D6DDC"/>
  </w:style>
  <w:style w:type="character" w:customStyle="1" w:styleId="mo">
    <w:name w:val="mo"/>
    <w:basedOn w:val="Domylnaczcionkaakapitu"/>
    <w:rsid w:val="003D6DDC"/>
  </w:style>
  <w:style w:type="paragraph" w:customStyle="1" w:styleId="animation-ready">
    <w:name w:val="animation-ready"/>
    <w:basedOn w:val="Normalny"/>
    <w:rsid w:val="003D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3D6DDC"/>
  </w:style>
  <w:style w:type="character" w:styleId="Tekstzastpczy">
    <w:name w:val="Placeholder Text"/>
    <w:basedOn w:val="Domylnaczcionkaakapitu"/>
    <w:uiPriority w:val="99"/>
    <w:semiHidden/>
    <w:rsid w:val="003D6D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865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76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3</cp:revision>
  <dcterms:created xsi:type="dcterms:W3CDTF">2020-05-17T19:21:00Z</dcterms:created>
  <dcterms:modified xsi:type="dcterms:W3CDTF">2020-05-25T16:44:00Z</dcterms:modified>
</cp:coreProperties>
</file>