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ED" w:rsidRDefault="005125ED" w:rsidP="00512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5125ED" w:rsidRDefault="005125ED" w:rsidP="0051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125ED" w:rsidRDefault="005125ED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Poezja T. Różewicza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 w:rsidRPr="005125ED">
        <w:rPr>
          <w:rFonts w:ascii="Times New Roman" w:hAnsi="Times New Roman" w:cs="Times New Roman"/>
          <w:sz w:val="24"/>
          <w:szCs w:val="24"/>
        </w:rPr>
        <w:t xml:space="preserve">1. Wiersz </w:t>
      </w:r>
      <w:proofErr w:type="spellStart"/>
      <w:r w:rsidRPr="005125ED">
        <w:rPr>
          <w:rFonts w:ascii="Times New Roman" w:hAnsi="Times New Roman" w:cs="Times New Roman"/>
          <w:sz w:val="24"/>
          <w:szCs w:val="24"/>
        </w:rPr>
        <w:t>różewiczowski</w:t>
      </w:r>
      <w:proofErr w:type="spellEnd"/>
      <w:r w:rsidRPr="005125ED">
        <w:rPr>
          <w:rFonts w:ascii="Times New Roman" w:hAnsi="Times New Roman" w:cs="Times New Roman"/>
          <w:sz w:val="24"/>
          <w:szCs w:val="24"/>
        </w:rPr>
        <w:t>.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„List do lud</w:t>
      </w:r>
      <w:r w:rsidR="0070195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żerców”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P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D6C18" w:rsidRDefault="009D6C18" w:rsidP="009D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„Tango” jako dramat rodzinny i polityczny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>1.  Recepcja „Tanga” w krajach Zachodniej Europy 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C1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pokoleń w „Tangu”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Konflikt inteligencji w panującą  w PRL- u władzą komunistyczną  (Artur kontra Edek).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P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5125ED"/>
    <w:rsid w:val="006807EF"/>
    <w:rsid w:val="00701956"/>
    <w:rsid w:val="007B28EA"/>
    <w:rsid w:val="008306EA"/>
    <w:rsid w:val="008F260C"/>
    <w:rsid w:val="00921C92"/>
    <w:rsid w:val="009D6C18"/>
    <w:rsid w:val="00AF5BFE"/>
    <w:rsid w:val="00BC120E"/>
    <w:rsid w:val="00C10A1D"/>
    <w:rsid w:val="00D9281A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2020-03-17T09:36:00Z</dcterms:created>
  <dcterms:modified xsi:type="dcterms:W3CDTF">2020-05-19T06:56:00Z</dcterms:modified>
</cp:coreProperties>
</file>