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W obronie słabszych- wiersz Cz. Miłosza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226588">
        <w:rPr>
          <w:rFonts w:ascii="Times New Roman" w:hAnsi="Times New Roman" w:cs="Times New Roman"/>
          <w:sz w:val="24"/>
          <w:szCs w:val="24"/>
        </w:rPr>
        <w:t>ycie</w:t>
      </w:r>
      <w:r>
        <w:rPr>
          <w:rFonts w:ascii="Times New Roman" w:hAnsi="Times New Roman" w:cs="Times New Roman"/>
          <w:sz w:val="24"/>
          <w:szCs w:val="24"/>
        </w:rPr>
        <w:t xml:space="preserve"> i twórczość Cz. Miłosza.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Wiersz- hołd  stoczniowcom poległym w Grudniu 1970 r.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XV Pisownia obcych nazw własnych 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Odmiana imion.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6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Odmiana nazwisk przez dodanie końcówki po apostrofie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Odmiana nazwisk przez dodanie końcówki</w:t>
      </w:r>
      <w:r>
        <w:rPr>
          <w:rFonts w:ascii="Times New Roman" w:hAnsi="Times New Roman" w:cs="Times New Roman"/>
          <w:sz w:val="24"/>
          <w:szCs w:val="24"/>
        </w:rPr>
        <w:t xml:space="preserve"> be\z apostrofu.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Dlaczego Szekspir a nie Shakespeare?</w:t>
      </w:r>
      <w:bookmarkStart w:id="0" w:name="_GoBack"/>
      <w:bookmarkEnd w:id="0"/>
    </w:p>
    <w:p w:rsidR="00226588" w:rsidRP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W obronie słabszych. Wiersz Cz. Miłosza „Który skrzywdziłeś”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EF7859">
        <w:rPr>
          <w:rFonts w:ascii="Times New Roman" w:hAnsi="Times New Roman" w:cs="Times New Roman"/>
          <w:sz w:val="24"/>
          <w:szCs w:val="24"/>
        </w:rPr>
        <w:t>ycie i twórczość Cz. Miłosza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F7859">
        <w:rPr>
          <w:rFonts w:ascii="Times New Roman" w:hAnsi="Times New Roman" w:cs="Times New Roman"/>
          <w:b/>
          <w:sz w:val="24"/>
          <w:szCs w:val="24"/>
        </w:rPr>
        <w:t>XV Pisownia obcych nazw własnych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Spolszczenia najważniejszych nazwisk.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Odmiana imion.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Odmiana nazwisk przez dodanie  końcówki po apostrofie.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Odmiana nazwisk przez dodanie  końcówki bez apostrofu.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8B554C" w:rsidRDefault="008B554C" w:rsidP="008B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Egzamin na króla w wierszu E. Lipskiej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 E. Lipskiej.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„Egzamin”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XIII Życie na dworze tyrana w wierszu Z. Herberta „Powrót prokonsula”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</w:t>
      </w:r>
      <w:r>
        <w:rPr>
          <w:rFonts w:ascii="Times New Roman" w:hAnsi="Times New Roman" w:cs="Times New Roman"/>
          <w:sz w:val="24"/>
          <w:szCs w:val="24"/>
        </w:rPr>
        <w:t xml:space="preserve"> Z. Herberta.</w:t>
      </w:r>
    </w:p>
    <w:p w:rsidR="008B554C" w:rsidRDefault="008B554C" w:rsidP="008B554C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</w:t>
      </w:r>
      <w:r>
        <w:rPr>
          <w:rFonts w:ascii="Times New Roman" w:hAnsi="Times New Roman" w:cs="Times New Roman"/>
          <w:sz w:val="24"/>
          <w:szCs w:val="24"/>
        </w:rPr>
        <w:t>Powrót prokonsula</w:t>
      </w:r>
      <w:r w:rsidRPr="008B55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E566FA" w:rsidRDefault="00E566FA" w:rsidP="00E5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Cechy dramatu szekspirowskiego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E566FA">
        <w:rPr>
          <w:rFonts w:ascii="Times New Roman" w:hAnsi="Times New Roman" w:cs="Times New Roman"/>
          <w:sz w:val="24"/>
          <w:szCs w:val="24"/>
        </w:rPr>
        <w:t>1. Powtórne narodziny teatru w średniowiecznej Europie (X w.)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Różnice  i podobieństwa między dramatem klasycznym (antycznym) a dramatem szekspirowskim.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566FA">
        <w:rPr>
          <w:rFonts w:ascii="Times New Roman" w:hAnsi="Times New Roman" w:cs="Times New Roman"/>
          <w:b/>
          <w:sz w:val="24"/>
          <w:szCs w:val="24"/>
        </w:rPr>
        <w:t xml:space="preserve">XI Mechanizmy władzy (na podstawie </w:t>
      </w:r>
      <w:proofErr w:type="spellStart"/>
      <w:r w:rsidRPr="00E566FA">
        <w:rPr>
          <w:rFonts w:ascii="Times New Roman" w:hAnsi="Times New Roman" w:cs="Times New Roman"/>
          <w:b/>
          <w:sz w:val="24"/>
          <w:szCs w:val="24"/>
        </w:rPr>
        <w:t>frag</w:t>
      </w:r>
      <w:proofErr w:type="spellEnd"/>
      <w:r w:rsidRPr="00E566FA">
        <w:rPr>
          <w:rFonts w:ascii="Times New Roman" w:hAnsi="Times New Roman" w:cs="Times New Roman"/>
          <w:b/>
          <w:sz w:val="24"/>
          <w:szCs w:val="24"/>
        </w:rPr>
        <w:t>. powieści W. Goldinga „Władca much”)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Goldinga.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Akcja i bohaterowie „Władcy much”.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Symboliczny sens powieści.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Władza-  dominacja czy odpowiedzialność?</w:t>
      </w: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226588"/>
    <w:rsid w:val="00300BA4"/>
    <w:rsid w:val="008B554C"/>
    <w:rsid w:val="008D580E"/>
    <w:rsid w:val="009169B4"/>
    <w:rsid w:val="0092243C"/>
    <w:rsid w:val="009C25B6"/>
    <w:rsid w:val="00A6754E"/>
    <w:rsid w:val="00A93AE1"/>
    <w:rsid w:val="00B310AB"/>
    <w:rsid w:val="00CE2070"/>
    <w:rsid w:val="00E566FA"/>
    <w:rsid w:val="00EF51A0"/>
    <w:rsid w:val="00EF7859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16</cp:revision>
  <dcterms:created xsi:type="dcterms:W3CDTF">2020-03-17T09:36:00Z</dcterms:created>
  <dcterms:modified xsi:type="dcterms:W3CDTF">2020-05-12T07:15:00Z</dcterms:modified>
</cp:coreProperties>
</file>