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F9031F" w:rsidRDefault="00F9031F" w:rsidP="00F9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H. Sienkiewicz i jego pisarstwo historyczne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 w:rsidRPr="00F9031F">
        <w:rPr>
          <w:rFonts w:ascii="Times New Roman" w:hAnsi="Times New Roman" w:cs="Times New Roman"/>
          <w:sz w:val="24"/>
          <w:szCs w:val="24"/>
        </w:rPr>
        <w:t>1. Życie i twórczość H. Sienkiewicza (laureat nagrody Nobla w 1905)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„Trylogia” i inne powieści historyczne pisane „ku pokrzepieniu serc”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09F9">
        <w:rPr>
          <w:rFonts w:ascii="Times New Roman" w:hAnsi="Times New Roman" w:cs="Times New Roman"/>
          <w:sz w:val="24"/>
          <w:szCs w:val="24"/>
        </w:rPr>
        <w:t xml:space="preserve"> Mowa e</w:t>
      </w:r>
      <w:r>
        <w:rPr>
          <w:rFonts w:ascii="Times New Roman" w:hAnsi="Times New Roman" w:cs="Times New Roman"/>
          <w:sz w:val="24"/>
          <w:szCs w:val="24"/>
        </w:rPr>
        <w:t>zopo</w:t>
      </w:r>
      <w:r w:rsidR="00E309F9">
        <w:rPr>
          <w:rFonts w:ascii="Times New Roman" w:hAnsi="Times New Roman" w:cs="Times New Roman"/>
          <w:sz w:val="24"/>
          <w:szCs w:val="24"/>
        </w:rPr>
        <w:t xml:space="preserve">wa w </w:t>
      </w:r>
      <w:r>
        <w:rPr>
          <w:rFonts w:ascii="Times New Roman" w:hAnsi="Times New Roman" w:cs="Times New Roman"/>
          <w:sz w:val="24"/>
          <w:szCs w:val="24"/>
        </w:rPr>
        <w:t>„Legend</w:t>
      </w:r>
      <w:r w:rsidR="00E309F9">
        <w:rPr>
          <w:rFonts w:ascii="Times New Roman" w:hAnsi="Times New Roman" w:cs="Times New Roman"/>
          <w:sz w:val="24"/>
          <w:szCs w:val="24"/>
        </w:rPr>
        <w:t>zie żeglarskiej” Sienkiewicza.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</w:p>
    <w:p w:rsidR="00E309F9" w:rsidRPr="00E309F9" w:rsidRDefault="00E309F9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E309F9">
        <w:rPr>
          <w:rFonts w:ascii="Times New Roman" w:hAnsi="Times New Roman" w:cs="Times New Roman"/>
          <w:b/>
          <w:sz w:val="24"/>
          <w:szCs w:val="24"/>
        </w:rPr>
        <w:t>XVI Idea asymilacji Żydów w noweli M. Konopnickiej „Mendel Gdański”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M. Konopnickiej.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Pozytywizm- „złoty okres” nowelistyki polskiej.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Nowela a opowiadania- różnice gatunkowe.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Akcja i bohaterowie noweli „Mendel Gdański”.</w:t>
      </w:r>
    </w:p>
    <w:p w:rsidR="00E309F9" w:rsidRPr="00F9031F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Ideowe przesłanie noweli.</w:t>
      </w:r>
      <w:bookmarkStart w:id="0" w:name="_GoBack"/>
      <w:bookmarkEnd w:id="0"/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D74FEB" w:rsidRDefault="00D74FEB" w:rsidP="00D74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„Nad „Niemnem” - pozytywistyczne idee w powieści E. Orzeszkowej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 w:rsidRPr="00F11F1D"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1F1D">
        <w:rPr>
          <w:rFonts w:ascii="Times New Roman" w:hAnsi="Times New Roman" w:cs="Times New Roman"/>
          <w:sz w:val="24"/>
          <w:szCs w:val="24"/>
        </w:rPr>
        <w:t>. Orzeszkowej.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Powieść tendencyjna- założenia gatunku.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Akcja i bohaterowie „Nad Niemnem”.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Idea pracy organicznej (mogiła Jana i Cecylii oraz mogiła powstańców 1863 r.),  idea pracy u podstaw, scjentyzmu i emancypacji kobiet w powieści.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„Nad Niemnem” a „Pan Tadeusz”- porównanie utworów.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74FEB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D74FEB">
        <w:rPr>
          <w:rFonts w:ascii="Times New Roman" w:hAnsi="Times New Roman" w:cs="Times New Roman"/>
          <w:sz w:val="24"/>
          <w:szCs w:val="24"/>
        </w:rPr>
        <w:t>otowego ) zagadnienia do tematów:</w:t>
      </w:r>
    </w:p>
    <w:p w:rsidR="00D74FEB" w:rsidRPr="00F11F1D" w:rsidRDefault="00D74FEB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 Pozytywizm- wprowadzenie do epoki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 (2. poł. XIX- do 1890, w Polsce 1863-1890)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 w:rsidRPr="002275A2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epoki (  „filozofia pozytywna” Comte’a).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(rewolucja przemysłowa)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 różnice między romantyczną  a pozytywistyczną wizją świata).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realizmu.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2275A2">
        <w:rPr>
          <w:rFonts w:ascii="Times New Roman" w:hAnsi="Times New Roman" w:cs="Times New Roman"/>
          <w:b/>
          <w:sz w:val="24"/>
          <w:szCs w:val="24"/>
        </w:rPr>
        <w:t xml:space="preserve">XIII Pozytywistyczne idee i ich wpływ na literaturę. 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301">
        <w:rPr>
          <w:rFonts w:ascii="Times New Roman" w:hAnsi="Times New Roman" w:cs="Times New Roman"/>
          <w:sz w:val="24"/>
          <w:szCs w:val="24"/>
        </w:rPr>
        <w:t xml:space="preserve"> Idea pracy organicznej (organicyzm).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Idea pracy u podstaw.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Emancypacja kobiet.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Scjentyzm.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Utylitaryzm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Filosemityzm.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Terytorialne odmiany polszczyzny.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lastRenderedPageBreak/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2275A2"/>
    <w:rsid w:val="004C5686"/>
    <w:rsid w:val="00662F40"/>
    <w:rsid w:val="006965F0"/>
    <w:rsid w:val="00717E47"/>
    <w:rsid w:val="00764022"/>
    <w:rsid w:val="00890DD3"/>
    <w:rsid w:val="008A129F"/>
    <w:rsid w:val="00B120E3"/>
    <w:rsid w:val="00C20693"/>
    <w:rsid w:val="00D74FEB"/>
    <w:rsid w:val="00E309F9"/>
    <w:rsid w:val="00F11F1D"/>
    <w:rsid w:val="00F33301"/>
    <w:rsid w:val="00F9031F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15</cp:revision>
  <dcterms:created xsi:type="dcterms:W3CDTF">2020-03-17T09:34:00Z</dcterms:created>
  <dcterms:modified xsi:type="dcterms:W3CDTF">2020-05-03T16:52:00Z</dcterms:modified>
</cp:coreProperties>
</file>