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Renesans- wprowadzenie do epoki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648D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9648D">
        <w:rPr>
          <w:rFonts w:ascii="Times New Roman" w:hAnsi="Times New Roman" w:cs="Times New Roman"/>
          <w:b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godności człowieka” Pico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Mirandoli </w:t>
      </w:r>
      <w:r>
        <w:rPr>
          <w:rFonts w:ascii="Times New Roman" w:hAnsi="Times New Roman" w:cs="Times New Roman"/>
          <w:b/>
          <w:sz w:val="24"/>
          <w:szCs w:val="24"/>
        </w:rPr>
        <w:t xml:space="preserve"> (wykorzystaj podane w podręczniku wskazówki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adres e-mail ewlogd@interia.pl</w:t>
      </w:r>
    </w:p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</w:p>
    <w:p w:rsidR="0089648D" w:rsidRDefault="0089648D" w:rsidP="0089648D"/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B"/>
    <w:rsid w:val="001D02FD"/>
    <w:rsid w:val="0089648D"/>
    <w:rsid w:val="00B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</cp:revision>
  <dcterms:created xsi:type="dcterms:W3CDTF">2020-03-17T09:33:00Z</dcterms:created>
  <dcterms:modified xsi:type="dcterms:W3CDTF">2020-03-17T10:51:00Z</dcterms:modified>
</cp:coreProperties>
</file>